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58" w:rsidRDefault="00773658" w:rsidP="00773658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right" w:pos="9070"/>
        </w:tabs>
        <w:rPr>
          <w:noProof/>
        </w:rPr>
      </w:pPr>
      <w:r>
        <w:rPr>
          <w:noProof/>
        </w:rPr>
        <w:drawing>
          <wp:inline distT="0" distB="0" distL="0" distR="0" wp14:anchorId="6434ABF5" wp14:editId="53B5CB6A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773658" w:rsidRDefault="00773658" w:rsidP="00773658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773658" w:rsidRDefault="00773658" w:rsidP="00773658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</w:p>
    <w:p w:rsidR="00773658" w:rsidRPr="00A34D57" w:rsidRDefault="00773658" w:rsidP="00773658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>GENERÁLNÍ FINANČNÍ ŘEDITELSTVÍ</w:t>
      </w:r>
    </w:p>
    <w:p w:rsidR="00773658" w:rsidRPr="00A34D57" w:rsidRDefault="00773658" w:rsidP="00773658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34D57">
        <w:rPr>
          <w:rFonts w:ascii="Arial" w:hAnsi="Arial" w:cs="Arial"/>
          <w:b/>
          <w:iCs/>
          <w:sz w:val="22"/>
        </w:rPr>
        <w:t>Samostatný odbor komunikace a mezinárodních vztahů</w:t>
      </w:r>
    </w:p>
    <w:p w:rsidR="00773658" w:rsidRPr="00A34D57" w:rsidRDefault="00773658" w:rsidP="00773658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Lazarská </w:t>
      </w:r>
      <w:r>
        <w:rPr>
          <w:rFonts w:ascii="Arial" w:hAnsi="Arial" w:cs="Arial"/>
          <w:iCs/>
          <w:sz w:val="22"/>
        </w:rPr>
        <w:t>15/</w:t>
      </w:r>
      <w:r w:rsidRPr="00A34D57">
        <w:rPr>
          <w:rFonts w:ascii="Arial" w:hAnsi="Arial" w:cs="Arial"/>
          <w:iCs/>
          <w:sz w:val="22"/>
        </w:rPr>
        <w:t>7, 117 22 Praha 1</w:t>
      </w:r>
    </w:p>
    <w:p w:rsidR="00773658" w:rsidRPr="006B0F6C" w:rsidRDefault="00773658" w:rsidP="00773658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  <w:r w:rsidRPr="00A34D57">
        <w:rPr>
          <w:rFonts w:ascii="Arial" w:hAnsi="Arial" w:cs="Arial"/>
          <w:iCs/>
          <w:sz w:val="22"/>
        </w:rPr>
        <w:t>Tel.: 257 044</w:t>
      </w:r>
      <w:r w:rsidR="009E1FC0">
        <w:rPr>
          <w:rFonts w:ascii="Arial" w:hAnsi="Arial" w:cs="Arial"/>
          <w:iCs/>
          <w:sz w:val="22"/>
        </w:rPr>
        <w:t> </w:t>
      </w:r>
      <w:r w:rsidRPr="00A34D57">
        <w:rPr>
          <w:rFonts w:ascii="Arial" w:hAnsi="Arial" w:cs="Arial"/>
          <w:iCs/>
          <w:sz w:val="22"/>
        </w:rPr>
        <w:t>025</w:t>
      </w:r>
    </w:p>
    <w:p w:rsidR="002C76E1" w:rsidRDefault="002C76E1" w:rsidP="002C76E1">
      <w:pPr>
        <w:spacing w:after="0"/>
        <w:rPr>
          <w:b/>
          <w:bCs/>
          <w:sz w:val="32"/>
          <w:szCs w:val="32"/>
        </w:rPr>
      </w:pPr>
    </w:p>
    <w:p w:rsidR="009E1FC0" w:rsidRDefault="009E1FC0" w:rsidP="002C76E1">
      <w:pPr>
        <w:spacing w:after="0"/>
        <w:rPr>
          <w:b/>
          <w:bCs/>
          <w:sz w:val="32"/>
          <w:szCs w:val="32"/>
        </w:rPr>
      </w:pPr>
    </w:p>
    <w:p w:rsidR="002C76E1" w:rsidRDefault="00773658" w:rsidP="002C76E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Co se změní u daně z převodu nemovitostí po 1.</w:t>
      </w:r>
      <w:r w:rsidR="009A15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1.</w:t>
      </w:r>
      <w:r w:rsidR="009A15B1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2014 ?  </w:t>
      </w:r>
      <w:r w:rsidR="002C76E1">
        <w:rPr>
          <w:b/>
          <w:bCs/>
          <w:sz w:val="28"/>
          <w:szCs w:val="28"/>
        </w:rPr>
        <w:t>Změny</w:t>
      </w:r>
      <w:proofErr w:type="gramEnd"/>
      <w:r w:rsidR="002C76E1">
        <w:rPr>
          <w:b/>
          <w:bCs/>
          <w:sz w:val="28"/>
          <w:szCs w:val="28"/>
        </w:rPr>
        <w:t xml:space="preserve"> budou i u daně dědické a darovací.</w:t>
      </w:r>
    </w:p>
    <w:p w:rsidR="00773658" w:rsidRPr="007C4871" w:rsidRDefault="00773658" w:rsidP="00773658">
      <w:pPr>
        <w:spacing w:after="0"/>
        <w:rPr>
          <w:b/>
          <w:bCs/>
          <w:sz w:val="28"/>
          <w:szCs w:val="28"/>
        </w:rPr>
      </w:pPr>
    </w:p>
    <w:p w:rsidR="00773658" w:rsidRPr="009E1FC0" w:rsidRDefault="00773658" w:rsidP="00773658">
      <w:pPr>
        <w:spacing w:line="240" w:lineRule="auto"/>
        <w:jc w:val="both"/>
      </w:pPr>
      <w:r w:rsidRPr="009E1FC0">
        <w:t xml:space="preserve">Sazba daně z převodu nemovitostí – po </w:t>
      </w:r>
      <w:proofErr w:type="gramStart"/>
      <w:r w:rsidRPr="009E1FC0">
        <w:t>1.1.2014</w:t>
      </w:r>
      <w:proofErr w:type="gramEnd"/>
      <w:r w:rsidRPr="009E1FC0">
        <w:t xml:space="preserve"> nově „daně z nabytí nemovitých věcí“ – se nemění, zůst</w:t>
      </w:r>
      <w:r w:rsidR="009F356B" w:rsidRPr="009E1FC0">
        <w:t>ává ve výši</w:t>
      </w:r>
      <w:r w:rsidRPr="009E1FC0">
        <w:t xml:space="preserve"> 4 % ze základu daně. </w:t>
      </w:r>
      <w:r w:rsidR="009F356B" w:rsidRPr="009E1FC0">
        <w:t>Zm</w:t>
      </w:r>
      <w:r w:rsidRPr="009E1FC0">
        <w:t xml:space="preserve">ění se však způsob stanovení základu daně, který vychází z tzv. </w:t>
      </w:r>
      <w:r w:rsidRPr="009E1FC0">
        <w:rPr>
          <w:u w:val="single"/>
        </w:rPr>
        <w:t>„nabývací hodnoty“</w:t>
      </w:r>
      <w:r w:rsidRPr="009E1FC0">
        <w:t xml:space="preserve">. U převážné většiny kupních či směnných smluv se tato nabývací hodnota stanoví porovnáním sjednané (kupní) ceny a </w:t>
      </w:r>
      <w:r w:rsidRPr="009E1FC0">
        <w:rPr>
          <w:i/>
        </w:rPr>
        <w:t>srovnávací daňové hodnoty</w:t>
      </w:r>
      <w:r w:rsidRPr="009E1FC0">
        <w:t>. Vyšší z nich je nabývací hodnotou, od které se odvíjí základ daně a vypočítává daň.</w:t>
      </w:r>
    </w:p>
    <w:p w:rsidR="00773658" w:rsidRPr="009E1FC0" w:rsidRDefault="00773658" w:rsidP="00773658">
      <w:pPr>
        <w:spacing w:line="240" w:lineRule="auto"/>
        <w:jc w:val="both"/>
      </w:pPr>
      <w:r w:rsidRPr="009E1FC0">
        <w:rPr>
          <w:i/>
          <w:u w:val="single"/>
        </w:rPr>
        <w:t>Srovnávací daňová hodnota</w:t>
      </w:r>
      <w:r w:rsidRPr="009E1FC0">
        <w:rPr>
          <w:i/>
        </w:rPr>
        <w:t xml:space="preserve"> </w:t>
      </w:r>
      <w:r w:rsidRPr="009E1FC0">
        <w:t xml:space="preserve">je buď částka odpovídající 75 % tzv. „směrné hodnoty“ nebo částka odpovídající 75 % zjištěné ceny (podle znaleckého posudku). </w:t>
      </w:r>
    </w:p>
    <w:p w:rsidR="00773658" w:rsidRPr="009E1FC0" w:rsidRDefault="00773658" w:rsidP="00773658">
      <w:pPr>
        <w:spacing w:line="240" w:lineRule="auto"/>
        <w:jc w:val="both"/>
      </w:pPr>
      <w:r w:rsidRPr="009E1FC0">
        <w:t xml:space="preserve">Pro určení nabývací hodnoty nejběžněji převáděných nemovitých </w:t>
      </w:r>
      <w:proofErr w:type="gramStart"/>
      <w:r w:rsidRPr="009E1FC0">
        <w:t xml:space="preserve">věcí </w:t>
      </w:r>
      <w:r w:rsidR="003D7C5C">
        <w:t xml:space="preserve"> </w:t>
      </w:r>
      <w:r w:rsidRPr="009E1FC0">
        <w:t>(rodinné</w:t>
      </w:r>
      <w:proofErr w:type="gramEnd"/>
      <w:r w:rsidRPr="009E1FC0">
        <w:t xml:space="preserve"> domy, rekreační objekty, garáže, pozemky, jejichž součástí jsou tyto stavby nebo s nimi tvoří funkční celek, pozemky bez trvalého porostu, bytové jednotky) si může poplatník zvolit, že podkladem pro stanovení základu daně nebude zjištěná cena (podle znaleckého posudku), nýbrž </w:t>
      </w:r>
      <w:r w:rsidRPr="009E1FC0">
        <w:rPr>
          <w:i/>
          <w:u w:val="single"/>
        </w:rPr>
        <w:t>směrná hodnota</w:t>
      </w:r>
      <w:r w:rsidRPr="009E1FC0">
        <w:t>. Ta vychází z cen obdobných nemovitých věcí v daném místě a čase, tj. se zohledněním druhu, polohy, účelu, stavu, stáří, vybavení a stavebně technických parametrů nemovité věci.</w:t>
      </w:r>
    </w:p>
    <w:p w:rsidR="00773658" w:rsidRDefault="00773658" w:rsidP="009E1FC0">
      <w:pPr>
        <w:jc w:val="both"/>
      </w:pPr>
      <w:r w:rsidRPr="009E1FC0">
        <w:t xml:space="preserve">Prakticky to znamená, že pokud si poplatník vybere tento způsob určení nabývací hodnoty, vyčíslí si v daňovém přiznání </w:t>
      </w:r>
      <w:r w:rsidRPr="009E1FC0">
        <w:rPr>
          <w:u w:val="single"/>
        </w:rPr>
        <w:t>zálohu</w:t>
      </w:r>
      <w:r w:rsidRPr="009E1FC0">
        <w:t xml:space="preserve"> ve výši 4 % sjednané ceny, kterou zaplatí ve lhůtě pro podání daňového přiznání. K daňovému přiznání </w:t>
      </w:r>
      <w:r w:rsidRPr="009E1FC0">
        <w:rPr>
          <w:u w:val="single"/>
        </w:rPr>
        <w:t>nedokládá znalecký posudek</w:t>
      </w:r>
      <w:r w:rsidRPr="009E1FC0">
        <w:t>, ale je povinen vyplnit příloh</w:t>
      </w:r>
      <w:r w:rsidR="00922E97" w:rsidRPr="009E1FC0">
        <w:t>y</w:t>
      </w:r>
      <w:r w:rsidRPr="009E1FC0">
        <w:t xml:space="preserve"> daňového přiznání</w:t>
      </w:r>
      <w:r w:rsidR="00922E97" w:rsidRPr="009E1FC0">
        <w:t xml:space="preserve"> pro jednotlivé nabývané nemovité věci</w:t>
      </w:r>
      <w:r w:rsidRPr="009E1FC0">
        <w:t>, kde uvede přesnou identifikaci nemovitosti</w:t>
      </w:r>
      <w:r w:rsidR="00922E97" w:rsidRPr="009E1FC0">
        <w:t xml:space="preserve">, </w:t>
      </w:r>
      <w:r w:rsidRPr="009E1FC0">
        <w:t>stavebně technick</w:t>
      </w:r>
      <w:r w:rsidR="00922E97" w:rsidRPr="009E1FC0">
        <w:t>é</w:t>
      </w:r>
      <w:r w:rsidRPr="009E1FC0">
        <w:t xml:space="preserve"> parametr</w:t>
      </w:r>
      <w:r w:rsidR="00922E97" w:rsidRPr="009E1FC0">
        <w:t>y a údaje vztahující se k bezprostřednímu okolí nabývané nemovitosti</w:t>
      </w:r>
      <w:r w:rsidRPr="009E1FC0">
        <w:t>. Správce daně na základě těchto údajů vypočte směrnou hodnotu</w:t>
      </w:r>
      <w:r w:rsidR="00922E97" w:rsidRPr="009E1FC0">
        <w:t xml:space="preserve">, z ní vypočte srovnávací daňovou hodnotu (75 </w:t>
      </w:r>
      <w:r w:rsidR="003D7C5C">
        <w:t>%</w:t>
      </w:r>
      <w:r w:rsidR="00922E97" w:rsidRPr="009E1FC0">
        <w:t xml:space="preserve"> směrné hodnoty) a porovnáním s cenou sjednanou stanoví základ daně.</w:t>
      </w:r>
      <w:r w:rsidRPr="009E1FC0">
        <w:t xml:space="preserve"> </w:t>
      </w:r>
      <w:r w:rsidR="00922E97" w:rsidRPr="009E1FC0">
        <w:t>D</w:t>
      </w:r>
      <w:r w:rsidRPr="009E1FC0">
        <w:t xml:space="preserve">aň vyměří platebním výměrem. </w:t>
      </w:r>
      <w:proofErr w:type="gramStart"/>
      <w:r w:rsidRPr="009E1FC0">
        <w:t>Rovná</w:t>
      </w:r>
      <w:proofErr w:type="gramEnd"/>
      <w:r w:rsidRPr="009E1FC0">
        <w:t>–</w:t>
      </w:r>
      <w:proofErr w:type="spellStart"/>
      <w:proofErr w:type="gramStart"/>
      <w:r w:rsidRPr="009E1FC0">
        <w:t>li</w:t>
      </w:r>
      <w:proofErr w:type="spellEnd"/>
      <w:proofErr w:type="gramEnd"/>
      <w:r w:rsidRPr="009E1FC0">
        <w:t xml:space="preserve"> se vyměřená daň </w:t>
      </w:r>
      <w:r w:rsidR="00922E97" w:rsidRPr="009E1FC0">
        <w:t>přiznané</w:t>
      </w:r>
      <w:r w:rsidRPr="009E1FC0">
        <w:t xml:space="preserve"> záloze, platební výměr se nedoručuje. Je-li vyměřená daň vyšší než záloha, rozdíl mezi daní a zálohou je splatný ve lhůtě do 30 dnů od doručení platebního výměru.</w:t>
      </w:r>
    </w:p>
    <w:p w:rsidR="00773658" w:rsidRPr="009E1FC0" w:rsidRDefault="00773658" w:rsidP="00773658">
      <w:pPr>
        <w:spacing w:line="240" w:lineRule="auto"/>
        <w:jc w:val="both"/>
      </w:pPr>
      <w:r w:rsidRPr="009E1FC0">
        <w:t xml:space="preserve">Pokud si však poplatník zvolí, že srovnávací cena bude odvozena od </w:t>
      </w:r>
      <w:r w:rsidRPr="009E1FC0">
        <w:rPr>
          <w:u w:val="single"/>
        </w:rPr>
        <w:t>zjištěné ceny</w:t>
      </w:r>
      <w:r w:rsidRPr="009E1FC0">
        <w:t xml:space="preserve"> (podle znaleckého posudku), pak je poplatník povinen k daňovému přiznání doložit znalecký posudek. V daňovém přiznání si vypočte srovnávací daňovou hodnotu (vypočte 75 % zjištěné ceny) a porovná ji s cenou sjednanou (kupní). </w:t>
      </w:r>
      <w:r w:rsidR="002C76E1" w:rsidRPr="009E1FC0">
        <w:t xml:space="preserve">Srovnávací daňová hodnota je nabývací hodnotou, je-li vyšší než cena sjednaná, v ostatních případech se základ daně stanoví z ceny sjednané. Pokud se pro určení srovnávací daňové hodnoty použije zjištěná cena, </w:t>
      </w:r>
      <w:r w:rsidRPr="009E1FC0">
        <w:t>může</w:t>
      </w:r>
      <w:r w:rsidR="002C76E1" w:rsidRPr="009E1FC0">
        <w:t xml:space="preserve"> si</w:t>
      </w:r>
      <w:r w:rsidRPr="009E1FC0">
        <w:t xml:space="preserve"> poplatník </w:t>
      </w:r>
      <w:r w:rsidR="002C76E1" w:rsidRPr="009E1FC0">
        <w:t xml:space="preserve">v daňovém přiznání uplatnit uznatelný výdaj, tj. pro stanovení základu daně </w:t>
      </w:r>
      <w:r w:rsidRPr="009E1FC0">
        <w:rPr>
          <w:u w:val="single"/>
        </w:rPr>
        <w:t xml:space="preserve">odečíst od </w:t>
      </w:r>
      <w:r w:rsidR="002C76E1" w:rsidRPr="009E1FC0">
        <w:rPr>
          <w:u w:val="single"/>
        </w:rPr>
        <w:t>nabývací hodnoty</w:t>
      </w:r>
      <w:r w:rsidRPr="009E1FC0">
        <w:rPr>
          <w:u w:val="single"/>
        </w:rPr>
        <w:t xml:space="preserve"> odměnu a náklady</w:t>
      </w:r>
      <w:r w:rsidRPr="009E1FC0">
        <w:t>, které prokazatelně zaplatil znalci za znalecký posudek. Vypočtenou daň je poplatník povinen uhradit ve lhůtě pro podání daňového přiznání.</w:t>
      </w:r>
    </w:p>
    <w:p w:rsidR="009E1FC0" w:rsidRDefault="009E1FC0" w:rsidP="00773658">
      <w:pPr>
        <w:spacing w:line="240" w:lineRule="auto"/>
        <w:jc w:val="both"/>
        <w:rPr>
          <w:u w:val="single"/>
        </w:rPr>
      </w:pPr>
    </w:p>
    <w:p w:rsidR="009E1FC0" w:rsidRDefault="009E1FC0" w:rsidP="00773658">
      <w:pPr>
        <w:spacing w:line="240" w:lineRule="auto"/>
        <w:jc w:val="both"/>
        <w:rPr>
          <w:u w:val="single"/>
        </w:rPr>
      </w:pPr>
    </w:p>
    <w:p w:rsidR="00773658" w:rsidRPr="009E1FC0" w:rsidRDefault="00773658" w:rsidP="00773658">
      <w:pPr>
        <w:spacing w:line="240" w:lineRule="auto"/>
        <w:jc w:val="both"/>
      </w:pPr>
      <w:r w:rsidRPr="009E1FC0">
        <w:rPr>
          <w:u w:val="single"/>
        </w:rPr>
        <w:t>Lhůta pro podání daňového přiznání</w:t>
      </w:r>
      <w:r w:rsidRPr="009E1FC0">
        <w:t xml:space="preserve"> se po </w:t>
      </w:r>
      <w:proofErr w:type="gramStart"/>
      <w:r w:rsidRPr="009E1FC0">
        <w:t>1.1.2014</w:t>
      </w:r>
      <w:proofErr w:type="gramEnd"/>
      <w:r w:rsidRPr="009E1FC0">
        <w:t xml:space="preserve"> nemění. Poplatník je povinen podat daňové přiznání nejpozději do konce třetího kalendářního měsíce následujícího po kalendářním měsíci, v němž byl proveden vklad práva do katastru nemovitostí (u v katast</w:t>
      </w:r>
      <w:r w:rsidR="002C76E1" w:rsidRPr="009E1FC0">
        <w:t>ru evidovaných nemovitých věcí).</w:t>
      </w:r>
      <w:r w:rsidRPr="009E1FC0">
        <w:t xml:space="preserve"> Například pokud katastrální úřad</w:t>
      </w:r>
      <w:r w:rsidR="00325155" w:rsidRPr="009E1FC0">
        <w:t xml:space="preserve"> rozhodl</w:t>
      </w:r>
      <w:r w:rsidRPr="009E1FC0">
        <w:t xml:space="preserve"> o </w:t>
      </w:r>
      <w:r w:rsidR="00325155" w:rsidRPr="009E1FC0">
        <w:t>povolen</w:t>
      </w:r>
      <w:r w:rsidRPr="009E1FC0">
        <w:t xml:space="preserve">í vkladu 15. ledna 2014, </w:t>
      </w:r>
      <w:r w:rsidR="00325155" w:rsidRPr="009E1FC0">
        <w:t xml:space="preserve">poplatník </w:t>
      </w:r>
      <w:r w:rsidRPr="009E1FC0">
        <w:t xml:space="preserve">je povinen podat daňové přiznání nejpozději do </w:t>
      </w:r>
      <w:proofErr w:type="gramStart"/>
      <w:r w:rsidRPr="009E1FC0">
        <w:t>30.4.2014</w:t>
      </w:r>
      <w:proofErr w:type="gramEnd"/>
      <w:r w:rsidRPr="009E1FC0">
        <w:t>.</w:t>
      </w:r>
    </w:p>
    <w:p w:rsidR="00773658" w:rsidRPr="009E1FC0" w:rsidRDefault="00773658" w:rsidP="00773658">
      <w:pPr>
        <w:spacing w:line="240" w:lineRule="auto"/>
        <w:jc w:val="both"/>
      </w:pPr>
      <w:r w:rsidRPr="009E1FC0">
        <w:rPr>
          <w:u w:val="single"/>
        </w:rPr>
        <w:t>Povinnou přílohou</w:t>
      </w:r>
      <w:r w:rsidRPr="009E1FC0">
        <w:t xml:space="preserve"> daňového přiznání je písemnost (postačí kopie písemnosti), na jejímž základě došlo k </w:t>
      </w:r>
      <w:r w:rsidR="00325155" w:rsidRPr="009E1FC0">
        <w:t xml:space="preserve">nabytí nemovité věci (např. </w:t>
      </w:r>
      <w:r w:rsidRPr="009E1FC0">
        <w:t>kupní</w:t>
      </w:r>
      <w:r w:rsidR="00325155" w:rsidRPr="009E1FC0">
        <w:t xml:space="preserve"> </w:t>
      </w:r>
      <w:r w:rsidRPr="009E1FC0">
        <w:t>smlouva</w:t>
      </w:r>
      <w:r w:rsidR="00325155" w:rsidRPr="009E1FC0">
        <w:t>, rozhodnutí soudu apod.)</w:t>
      </w:r>
      <w:r w:rsidRPr="009E1FC0">
        <w:t xml:space="preserve"> a vyrozumění katastrálního úřadu o provedení vkladu</w:t>
      </w:r>
      <w:r w:rsidR="00325155" w:rsidRPr="009E1FC0">
        <w:t xml:space="preserve">, jestliže se jedná o nemovitou věc </w:t>
      </w:r>
      <w:r w:rsidR="00325155" w:rsidRPr="003D7C5C">
        <w:rPr>
          <w:u w:val="single"/>
        </w:rPr>
        <w:t>evidovanou</w:t>
      </w:r>
      <w:r w:rsidR="00325155" w:rsidRPr="009E1FC0">
        <w:t xml:space="preserve"> v katastru nemovitostí</w:t>
      </w:r>
      <w:r w:rsidRPr="009E1FC0">
        <w:t xml:space="preserve">. Znalecký posudek je povinnou přílohou jen tehdy, pokud se základ daně odvozuje </w:t>
      </w:r>
      <w:r w:rsidR="003D7C5C">
        <w:t>od</w:t>
      </w:r>
      <w:r w:rsidRPr="009E1FC0">
        <w:t xml:space="preserve"> zjištěné ceny. </w:t>
      </w:r>
    </w:p>
    <w:p w:rsidR="00773658" w:rsidRPr="009E1FC0" w:rsidRDefault="00773658" w:rsidP="00773658">
      <w:pPr>
        <w:spacing w:line="240" w:lineRule="auto"/>
        <w:jc w:val="both"/>
      </w:pPr>
      <w:r w:rsidRPr="009E1FC0">
        <w:t xml:space="preserve">Vše uvedené platí </w:t>
      </w:r>
      <w:r w:rsidRPr="009E1FC0">
        <w:rPr>
          <w:u w:val="single"/>
        </w:rPr>
        <w:t>přiměřeně</w:t>
      </w:r>
      <w:r w:rsidRPr="009E1FC0">
        <w:t xml:space="preserve"> i pro poplatníky podávající daňové přiznání při změně vlastnického práva k nemovité věci </w:t>
      </w:r>
      <w:r w:rsidRPr="009E1FC0">
        <w:rPr>
          <w:u w:val="single"/>
        </w:rPr>
        <w:t>neevidované</w:t>
      </w:r>
      <w:r w:rsidRPr="009E1FC0">
        <w:t xml:space="preserve"> v katastru nemovitostí.</w:t>
      </w:r>
    </w:p>
    <w:p w:rsidR="00773658" w:rsidRPr="009E1FC0" w:rsidRDefault="00773658" w:rsidP="00773658">
      <w:pPr>
        <w:spacing w:line="240" w:lineRule="auto"/>
        <w:jc w:val="both"/>
      </w:pPr>
      <w:r w:rsidRPr="009E1FC0">
        <w:t xml:space="preserve">Daňové přiznání poplatník </w:t>
      </w:r>
      <w:r w:rsidR="00325155" w:rsidRPr="009E1FC0">
        <w:t>nadále</w:t>
      </w:r>
      <w:r w:rsidRPr="009E1FC0">
        <w:t xml:space="preserve"> podává u toho správce daně, v jehož </w:t>
      </w:r>
      <w:r w:rsidRPr="009E1FC0">
        <w:rPr>
          <w:u w:val="single"/>
        </w:rPr>
        <w:t>obvodu územní působnosti</w:t>
      </w:r>
      <w:r w:rsidRPr="009E1FC0">
        <w:t xml:space="preserve"> se nachází převáděná nemovitá věc.</w:t>
      </w:r>
    </w:p>
    <w:p w:rsidR="00773658" w:rsidRPr="009E1FC0" w:rsidRDefault="00325155" w:rsidP="00773658">
      <w:pPr>
        <w:spacing w:line="240" w:lineRule="auto"/>
        <w:jc w:val="both"/>
      </w:pPr>
      <w:r w:rsidRPr="009E1FC0">
        <w:t>V případě kupních a směnných smluv může být poplatníkem tak jako doposud p</w:t>
      </w:r>
      <w:r w:rsidR="00773658" w:rsidRPr="009E1FC0">
        <w:t>řevodce (prodávající)</w:t>
      </w:r>
      <w:r w:rsidRPr="009E1FC0">
        <w:t xml:space="preserve">. V takovém případě je nabyvatel </w:t>
      </w:r>
      <w:r w:rsidRPr="003D7C5C">
        <w:rPr>
          <w:u w:val="single"/>
        </w:rPr>
        <w:t>ručitelem</w:t>
      </w:r>
      <w:r w:rsidRPr="009E1FC0">
        <w:t xml:space="preserve">. </w:t>
      </w:r>
      <w:r w:rsidR="00773658" w:rsidRPr="009E1FC0">
        <w:t xml:space="preserve"> </w:t>
      </w:r>
      <w:r w:rsidRPr="009E1FC0">
        <w:t xml:space="preserve">Účastníci smlouvy se však mohou v kupní či směnné smlouvě výslovně dohodnout, </w:t>
      </w:r>
      <w:r w:rsidR="00773658" w:rsidRPr="009E1FC0">
        <w:t>že poplatníkem daně bude nabyvatel</w:t>
      </w:r>
      <w:r w:rsidRPr="009E1FC0">
        <w:t>. Tento způsob je pro nabyvatele ve svých důsledcích výhodnější, neboť je</w:t>
      </w:r>
      <w:r w:rsidR="00773658" w:rsidRPr="009E1FC0">
        <w:t xml:space="preserve"> </w:t>
      </w:r>
      <w:r w:rsidRPr="009E1FC0">
        <w:t>o</w:t>
      </w:r>
      <w:r w:rsidR="00773658" w:rsidRPr="009E1FC0">
        <w:t>d počátku aktivním účastníkem daňového řízení</w:t>
      </w:r>
      <w:r w:rsidRPr="009E1FC0">
        <w:t xml:space="preserve">, platí daň přímo a nemusí tak zajišťovat částku na úhradu daně např. v úschově u notáře či advokáta tak, jak to </w:t>
      </w:r>
      <w:r w:rsidR="00237F29" w:rsidRPr="009E1FC0">
        <w:t>řada kupujících činí, aby předešla komplikacím, pokud by převodce daň neuhradil</w:t>
      </w:r>
      <w:r w:rsidR="00773658" w:rsidRPr="009E1FC0">
        <w:t>.</w:t>
      </w:r>
      <w:r w:rsidR="00237F29" w:rsidRPr="009E1FC0">
        <w:t xml:space="preserve"> Ve smlouvě však musí být výslovně uvedeno, že nabyvatel je poplatníkem, </w:t>
      </w:r>
      <w:r w:rsidR="00237F29" w:rsidRPr="003D7C5C">
        <w:rPr>
          <w:u w:val="single"/>
        </w:rPr>
        <w:t>nepostačí např. klauzule, že nabyvatel uhradí daň</w:t>
      </w:r>
      <w:r w:rsidR="00237F29" w:rsidRPr="009E1FC0">
        <w:t>.</w:t>
      </w:r>
      <w:r w:rsidR="00773658" w:rsidRPr="009E1FC0">
        <w:t xml:space="preserve"> </w:t>
      </w:r>
    </w:p>
    <w:p w:rsidR="00773658" w:rsidRPr="009E1FC0" w:rsidRDefault="00237F29" w:rsidP="00773658">
      <w:pPr>
        <w:spacing w:line="240" w:lineRule="auto"/>
        <w:jc w:val="both"/>
      </w:pPr>
      <w:r w:rsidRPr="009E1FC0">
        <w:t>V případech, kdy se nejedná o nabytí nemovité věci kupní či směnnou smlouvou</w:t>
      </w:r>
      <w:r w:rsidR="00773658" w:rsidRPr="009E1FC0">
        <w:t>, je poplatníkem vždy nabyvatel</w:t>
      </w:r>
      <w:r w:rsidRPr="009E1FC0">
        <w:t xml:space="preserve"> (např. rozhodnutí soudu, dražba)</w:t>
      </w:r>
      <w:r w:rsidR="00773658" w:rsidRPr="009E1FC0">
        <w:t xml:space="preserve">. </w:t>
      </w:r>
    </w:p>
    <w:p w:rsidR="00773658" w:rsidRPr="009E1FC0" w:rsidRDefault="00773658" w:rsidP="00773658">
      <w:pPr>
        <w:spacing w:line="240" w:lineRule="auto"/>
        <w:jc w:val="both"/>
      </w:pPr>
      <w:r w:rsidRPr="009E1FC0">
        <w:t xml:space="preserve">Při převodu nemovité věci ze </w:t>
      </w:r>
      <w:r w:rsidRPr="009E1FC0">
        <w:rPr>
          <w:u w:val="single"/>
        </w:rPr>
        <w:t>společného jmění manželů</w:t>
      </w:r>
      <w:r w:rsidRPr="009E1FC0">
        <w:t xml:space="preserve"> či nabytí nemovité věci do jejich společného jmění budou manželé nově poplatníky daně společně a nerozdílně.</w:t>
      </w:r>
      <w:r w:rsidR="00237F29" w:rsidRPr="009E1FC0">
        <w:t xml:space="preserve"> To znamená, že podávají jedno daňové přiznání a v daňovém řízení vystupuje jeden z nich jako společný zmocněnec.</w:t>
      </w:r>
    </w:p>
    <w:p w:rsidR="00237F29" w:rsidRPr="009E1FC0" w:rsidRDefault="00237F29" w:rsidP="00237F29">
      <w:pPr>
        <w:jc w:val="both"/>
        <w:rPr>
          <w:rFonts w:ascii="Arial" w:hAnsi="Arial" w:cs="Arial"/>
          <w:color w:val="000080"/>
        </w:rPr>
      </w:pPr>
      <w:r w:rsidRPr="009E1FC0">
        <w:t xml:space="preserve">Zákonným opatřením </w:t>
      </w:r>
      <w:r w:rsidR="00773658" w:rsidRPr="009E1FC0">
        <w:t xml:space="preserve">Senátu </w:t>
      </w:r>
      <w:r w:rsidRPr="009E1FC0">
        <w:t xml:space="preserve">č. 340/20013 Sb., o dani z nabytí nemovitých věcí, byl s účinností od </w:t>
      </w:r>
      <w:proofErr w:type="gramStart"/>
      <w:r w:rsidRPr="009E1FC0">
        <w:t>1.1.2014</w:t>
      </w:r>
      <w:proofErr w:type="gramEnd"/>
      <w:r w:rsidRPr="009E1FC0">
        <w:t xml:space="preserve"> zrušen zákon č. 357/1992 Sb., </w:t>
      </w:r>
      <w:r w:rsidR="00773658" w:rsidRPr="009E1FC0">
        <w:t xml:space="preserve">o dani dědické, darovací a z převodu nemovitostí. </w:t>
      </w:r>
      <w:r w:rsidRPr="009E1FC0">
        <w:t>Z</w:t>
      </w:r>
      <w:r w:rsidR="00773658" w:rsidRPr="009E1FC0">
        <w:t xml:space="preserve">ákonným opatřením </w:t>
      </w:r>
      <w:r w:rsidRPr="009E1FC0">
        <w:t xml:space="preserve">Senátu č. 344/2013 Sb., o změně daňových zákonů v souvislosti s rekodifikací soukromého práva a o změně některých zákonů, </w:t>
      </w:r>
      <w:r w:rsidR="00773658" w:rsidRPr="009E1FC0">
        <w:t xml:space="preserve">byla daň </w:t>
      </w:r>
      <w:r w:rsidR="00773658" w:rsidRPr="009E1FC0">
        <w:rPr>
          <w:u w:val="single"/>
        </w:rPr>
        <w:t>dědická a darovací zahrnuta pod daň z příjmů</w:t>
      </w:r>
      <w:r w:rsidR="00773658" w:rsidRPr="009E1FC0">
        <w:t xml:space="preserve">. </w:t>
      </w:r>
      <w:r w:rsidR="000D08C2">
        <w:t>P</w:t>
      </w:r>
      <w:r w:rsidR="00773658" w:rsidRPr="009E1FC0">
        <w:t xml:space="preserve">ůvodní osvobození od daně dědické, které se vztahovalo na poplatníky v I. a II. skupině podle příbuzenského vztahu (příbuzní v řadě přímé a pobočné), </w:t>
      </w:r>
      <w:r w:rsidR="000D08C2">
        <w:t xml:space="preserve">se </w:t>
      </w:r>
      <w:r w:rsidR="00773658" w:rsidRPr="009E1FC0">
        <w:t xml:space="preserve">rozšířilo i na poplatníky ve III. skupině (všichni ostatní), </w:t>
      </w:r>
      <w:r w:rsidR="000D08C2">
        <w:t xml:space="preserve">což </w:t>
      </w:r>
      <w:r w:rsidR="001C2AEA" w:rsidRPr="009E1FC0">
        <w:t>fakticky</w:t>
      </w:r>
      <w:r w:rsidR="001C2AEA">
        <w:t xml:space="preserve"> </w:t>
      </w:r>
      <w:r w:rsidR="000D08C2">
        <w:t xml:space="preserve">znamená, že </w:t>
      </w:r>
      <w:r w:rsidR="001C2AEA">
        <w:t xml:space="preserve">se </w:t>
      </w:r>
      <w:r w:rsidR="00773658" w:rsidRPr="009E1FC0">
        <w:t xml:space="preserve">daň dědická již nebude platit. </w:t>
      </w:r>
      <w:r w:rsidRPr="009E1FC0">
        <w:t>Osvobození od daně darovací zůstává obdobné stávajícímu.</w:t>
      </w:r>
      <w:r w:rsidRPr="009E1FC0">
        <w:rPr>
          <w:rFonts w:ascii="Arial" w:hAnsi="Arial" w:cs="Arial"/>
          <w:color w:val="000080"/>
        </w:rPr>
        <w:t xml:space="preserve"> </w:t>
      </w:r>
      <w:bookmarkStart w:id="0" w:name="_GoBack"/>
      <w:bookmarkEnd w:id="0"/>
    </w:p>
    <w:p w:rsidR="00773658" w:rsidRPr="009E1FC0" w:rsidRDefault="00773658" w:rsidP="00773658">
      <w:pPr>
        <w:spacing w:line="240" w:lineRule="auto"/>
        <w:jc w:val="both"/>
      </w:pPr>
      <w:r w:rsidRPr="009E1FC0">
        <w:t xml:space="preserve">V Praze dne </w:t>
      </w:r>
      <w:r w:rsidR="009F356B" w:rsidRPr="009E1FC0">
        <w:t>20.</w:t>
      </w:r>
      <w:r w:rsidRPr="009E1FC0">
        <w:t xml:space="preserve"> prosince 2013</w:t>
      </w:r>
    </w:p>
    <w:p w:rsidR="009E1FC0" w:rsidRDefault="009E1FC0" w:rsidP="00773658">
      <w:pPr>
        <w:spacing w:after="0" w:line="240" w:lineRule="auto"/>
        <w:jc w:val="both"/>
      </w:pPr>
    </w:p>
    <w:p w:rsidR="00773658" w:rsidRPr="009E1FC0" w:rsidRDefault="00773658" w:rsidP="00773658">
      <w:pPr>
        <w:spacing w:after="0" w:line="240" w:lineRule="auto"/>
        <w:jc w:val="both"/>
      </w:pPr>
      <w:r w:rsidRPr="009E1FC0">
        <w:t>Ing. Petra Petlachová</w:t>
      </w:r>
      <w:r w:rsidRPr="009E1FC0">
        <w:tab/>
      </w:r>
      <w:r w:rsidRPr="009E1FC0">
        <w:tab/>
      </w:r>
      <w:r w:rsidRPr="009E1FC0">
        <w:tab/>
      </w:r>
      <w:r w:rsidRPr="009E1FC0">
        <w:tab/>
      </w:r>
      <w:r w:rsidRPr="009E1FC0">
        <w:tab/>
      </w:r>
      <w:r w:rsidRPr="009E1FC0">
        <w:tab/>
      </w:r>
    </w:p>
    <w:p w:rsidR="00773658" w:rsidRPr="009E1FC0" w:rsidRDefault="00773658" w:rsidP="00773658">
      <w:pPr>
        <w:spacing w:after="0" w:line="240" w:lineRule="auto"/>
        <w:jc w:val="both"/>
      </w:pPr>
      <w:r w:rsidRPr="009E1FC0">
        <w:t xml:space="preserve">Ředitelka Samostatného odboru </w:t>
      </w:r>
    </w:p>
    <w:p w:rsidR="00773658" w:rsidRPr="009E1FC0" w:rsidRDefault="00773658" w:rsidP="00773658">
      <w:pPr>
        <w:spacing w:after="0" w:line="240" w:lineRule="auto"/>
        <w:jc w:val="both"/>
      </w:pPr>
      <w:r w:rsidRPr="009E1FC0">
        <w:t>komunikace a mezinárodních vztahů, tisková mluvčí</w:t>
      </w:r>
      <w:r w:rsidRPr="009E1FC0">
        <w:tab/>
      </w:r>
      <w:r w:rsidRPr="009E1FC0">
        <w:tab/>
      </w:r>
    </w:p>
    <w:p w:rsidR="00773658" w:rsidRPr="009E1FC0" w:rsidRDefault="00773658" w:rsidP="00773658">
      <w:pPr>
        <w:spacing w:after="0" w:line="240" w:lineRule="auto"/>
        <w:jc w:val="both"/>
      </w:pPr>
      <w:r w:rsidRPr="009E1FC0">
        <w:t>Generální finanční ředitelství</w:t>
      </w:r>
      <w:r w:rsidRPr="009E1FC0">
        <w:tab/>
      </w:r>
      <w:r w:rsidRPr="009E1FC0">
        <w:tab/>
      </w:r>
      <w:r w:rsidRPr="009E1FC0">
        <w:tab/>
      </w:r>
      <w:r w:rsidRPr="009E1FC0">
        <w:tab/>
      </w:r>
      <w:r w:rsidRPr="009E1FC0">
        <w:tab/>
      </w:r>
    </w:p>
    <w:p w:rsidR="00325B09" w:rsidRPr="009E1FC0" w:rsidRDefault="00773658" w:rsidP="002C76E1">
      <w:pPr>
        <w:spacing w:after="0" w:line="240" w:lineRule="auto"/>
        <w:jc w:val="both"/>
      </w:pPr>
      <w:r w:rsidRPr="009E1FC0">
        <w:t>GSM: 602 674 903</w:t>
      </w:r>
      <w:r w:rsidRPr="009E1FC0">
        <w:tab/>
      </w:r>
      <w:r w:rsidRPr="009E1FC0">
        <w:tab/>
      </w:r>
    </w:p>
    <w:sectPr w:rsidR="00325B09" w:rsidRPr="009E1FC0" w:rsidSect="00A455CC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58"/>
    <w:rsid w:val="000D08C2"/>
    <w:rsid w:val="001C2AEA"/>
    <w:rsid w:val="00237F29"/>
    <w:rsid w:val="002C76E1"/>
    <w:rsid w:val="00325155"/>
    <w:rsid w:val="00325B09"/>
    <w:rsid w:val="003D7C5C"/>
    <w:rsid w:val="00773658"/>
    <w:rsid w:val="00922E97"/>
    <w:rsid w:val="009A15B1"/>
    <w:rsid w:val="009E1FC0"/>
    <w:rsid w:val="009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658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7365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36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658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7365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736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6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Petlachová Petra Ing. (FÚ pro Moravskoslezský kraj)</cp:lastModifiedBy>
  <cp:revision>7</cp:revision>
  <dcterms:created xsi:type="dcterms:W3CDTF">2013-12-19T17:38:00Z</dcterms:created>
  <dcterms:modified xsi:type="dcterms:W3CDTF">2013-12-20T09:20:00Z</dcterms:modified>
</cp:coreProperties>
</file>